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Florida Rugby Union </w:t>
      </w:r>
    </w:p>
    <w:p w:rsidR="00000000" w:rsidDel="00000000" w:rsidP="00000000" w:rsidRDefault="00000000" w:rsidRPr="00000000" w14:paraId="00000002">
      <w:pPr>
        <w:jc w:val="center"/>
        <w:rPr>
          <w:b w:val="1"/>
        </w:rPr>
      </w:pPr>
      <w:r w:rsidDel="00000000" w:rsidR="00000000" w:rsidRPr="00000000">
        <w:rPr>
          <w:b w:val="1"/>
          <w:rtl w:val="0"/>
        </w:rPr>
        <w:t xml:space="preserve">Return to Play Authorization Letter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following training plan applies to (XXXX rugby club) for Stage 3 reopening.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Our coach (XXXX) and administrator (XXXX) have completed the World Rugby Return to play online modules and the certificates are included with this submission.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Our club will monitor and record all participants (Players, Coaches, and Admins) for each training session.</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Our club will screen players with a forehead thermometer at the start of training. Any player with a temp over 99.4 will be excluded from training and sent home.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We will print out the provided Return to Play Participant Log template ensuring that all questions and relevant information are filled in. We will store these records and be able to send in a copy of this roster upon request.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We will have everyone sanitize hands prior to and upon completion of training.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We understand that we must communicate with our participants that if they diagnosed with COVID-19 within the next 14 days after attending practice they must inform your club leadership as soon as possible and the club should cease activities for 14 days.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We understand if we do not follow USA Rugby’s Guidelines for COVIT-19 Return to play we will not be covered by USA Rugby’s Liability and Medical Insurance.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The following activities are ones which we plan to engage in at our training sessions: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Activity #1 - Drill name and a brief description</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Activity #2</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Activity #3</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Activity #4</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Activity #5</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Activity #6</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13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 (Print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w:t>
            </w:r>
          </w:p>
        </w:tc>
      </w:tr>
      <w:tr>
        <w:trPr>
          <w:trHeight w:val="12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Club Administrator (Print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Club Administrator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Date </w:t>
            </w:r>
          </w:p>
        </w:tc>
      </w:tr>
    </w:tbl>
    <w:p w:rsidR="00000000" w:rsidDel="00000000" w:rsidP="00000000" w:rsidRDefault="00000000" w:rsidRPr="00000000" w14:paraId="00000022">
      <w:pPr>
        <w:jc w:val="left"/>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